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3" w:rsidRPr="008B4492" w:rsidRDefault="006271E3" w:rsidP="003C561B">
      <w:pPr>
        <w:spacing w:line="312" w:lineRule="auto"/>
        <w:ind w:right="1236" w:firstLineChars="100" w:firstLine="281"/>
        <w:outlineLvl w:val="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Cs w:val="28"/>
        </w:rPr>
        <w:t>发布</w:t>
      </w:r>
      <w:r w:rsidRPr="008B4492">
        <w:rPr>
          <w:rFonts w:ascii="宋体" w:hAnsi="宋体" w:cs="宋体" w:hint="eastAsia"/>
          <w:b/>
          <w:bCs/>
          <w:szCs w:val="28"/>
        </w:rPr>
        <w:t>东北师范大学美术学院修购基金分散采购设备</w:t>
      </w:r>
      <w:r>
        <w:rPr>
          <w:rFonts w:ascii="宋体" w:hAnsi="宋体" w:cs="宋体" w:hint="eastAsia"/>
          <w:b/>
          <w:bCs/>
          <w:szCs w:val="28"/>
        </w:rPr>
        <w:t>通知</w:t>
      </w:r>
    </w:p>
    <w:p w:rsidR="006271E3" w:rsidRPr="008B4492" w:rsidRDefault="006271E3" w:rsidP="006271E3">
      <w:pPr>
        <w:spacing w:line="312" w:lineRule="auto"/>
        <w:ind w:left="120"/>
        <w:jc w:val="center"/>
        <w:rPr>
          <w:rFonts w:ascii="宋体" w:hAnsi="宋体" w:cs="宋体"/>
          <w:b/>
          <w:szCs w:val="28"/>
        </w:rPr>
      </w:pPr>
      <w:bookmarkStart w:id="0" w:name="_Toc31046_WPSOffice_Level2"/>
      <w:bookmarkStart w:id="1" w:name="_Toc31862_WPSOffice_Level2"/>
      <w:bookmarkStart w:id="2" w:name="_Toc31519_WPSOffice_Level2"/>
      <w:r w:rsidRPr="008B4492">
        <w:rPr>
          <w:rFonts w:ascii="宋体" w:hAnsi="宋体" w:cs="宋体" w:hint="eastAsia"/>
          <w:b/>
          <w:bCs/>
          <w:szCs w:val="28"/>
        </w:rPr>
        <w:t>供应商须知</w:t>
      </w:r>
      <w:r w:rsidRPr="008B4492">
        <w:rPr>
          <w:rFonts w:ascii="宋体" w:hAnsi="宋体" w:cs="宋体" w:hint="eastAsia"/>
          <w:b/>
          <w:szCs w:val="28"/>
        </w:rPr>
        <w:t>附表</w:t>
      </w:r>
      <w:bookmarkEnd w:id="0"/>
      <w:bookmarkEnd w:id="1"/>
      <w:bookmarkEnd w:id="2"/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060"/>
        <w:gridCol w:w="6550"/>
      </w:tblGrid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编列内容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采购人：东北师范大学美术学院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地 址：吉林省长春市净月大街2555号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联系人：</w:t>
            </w:r>
            <w:r w:rsidR="0033570B">
              <w:rPr>
                <w:rFonts w:ascii="宋体" w:hAnsi="宋体" w:cs="宋体" w:hint="eastAsia"/>
                <w:sz w:val="21"/>
                <w:szCs w:val="21"/>
              </w:rPr>
              <w:t>魏</w:t>
            </w:r>
            <w:r>
              <w:rPr>
                <w:rFonts w:ascii="宋体" w:hAnsi="宋体" w:cs="宋体" w:hint="eastAsia"/>
                <w:sz w:val="21"/>
                <w:szCs w:val="21"/>
              </w:rPr>
              <w:t>老师</w:t>
            </w:r>
            <w:r w:rsidR="009B36AF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6271E3" w:rsidRDefault="006271E3" w:rsidP="00E946FB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联系电话：0431-84537611</w:t>
            </w:r>
            <w:r w:rsidR="008136FA">
              <w:rPr>
                <w:rFonts w:ascii="宋体" w:hAnsi="宋体" w:cs="宋体" w:hint="eastAsia"/>
                <w:sz w:val="21"/>
                <w:szCs w:val="21"/>
              </w:rPr>
              <w:t>、13694002222</w:t>
            </w:r>
          </w:p>
        </w:tc>
      </w:tr>
      <w:tr w:rsidR="006271E3" w:rsidTr="00E946FB">
        <w:trPr>
          <w:trHeight w:val="460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采购范围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美术学院实验室设备采购</w:t>
            </w:r>
          </w:p>
        </w:tc>
      </w:tr>
      <w:tr w:rsidR="006271E3" w:rsidTr="00E946FB">
        <w:trPr>
          <w:trHeight w:val="50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供货期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自签订合同之日起，20天内完成交付。（具体时间以合同约定为准）</w:t>
            </w:r>
          </w:p>
        </w:tc>
      </w:tr>
      <w:tr w:rsidR="006271E3" w:rsidTr="00E946FB">
        <w:trPr>
          <w:trHeight w:val="396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w w:val="98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供货地点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 xml:space="preserve">） </w:t>
            </w:r>
          </w:p>
        </w:tc>
      </w:tr>
      <w:tr w:rsidR="006271E3" w:rsidTr="00E946FB">
        <w:trPr>
          <w:trHeight w:val="399"/>
          <w:jc w:val="center"/>
        </w:trPr>
        <w:tc>
          <w:tcPr>
            <w:tcW w:w="946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质量要求</w:t>
            </w:r>
          </w:p>
        </w:tc>
        <w:tc>
          <w:tcPr>
            <w:tcW w:w="6550" w:type="dxa"/>
            <w:vAlign w:val="center"/>
          </w:tcPr>
          <w:p w:rsidR="006271E3" w:rsidRDefault="006271E3" w:rsidP="00E946FB">
            <w:pPr>
              <w:spacing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符合相关行业标准</w:t>
            </w:r>
          </w:p>
        </w:tc>
      </w:tr>
      <w:tr w:rsidR="006271E3" w:rsidTr="00E946FB">
        <w:trPr>
          <w:jc w:val="center"/>
        </w:trPr>
        <w:tc>
          <w:tcPr>
            <w:tcW w:w="946" w:type="dxa"/>
            <w:vAlign w:val="center"/>
          </w:tcPr>
          <w:p w:rsidR="006271E3" w:rsidRDefault="00B55446" w:rsidP="00E946FB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E946FB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供应商资质条件、能力、信誉</w:t>
            </w:r>
          </w:p>
        </w:tc>
        <w:tc>
          <w:tcPr>
            <w:tcW w:w="6550" w:type="dxa"/>
          </w:tcPr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1.在中华人民共和国境内注册，有能力提供相应产品和服务的供应商。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2.单位负责人为同一人或者存在控股、管理关系的不同单位，不得参加同一采购项目磋商。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3.提供中国裁判文书网（http://wenshu.court.gov.cn/）中供应商近三年无行贿犯罪记录。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4.未被列入信用中国网（www.creditchina.gov.cn）渠道信用记录失信被执行人、重大税收违法案件当事人名单；未列入中国政府采购网（http://www.ccgp.gov.cn）政府采购严重违法失信行为记录名单的供应商。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5.本次采购不接受联合体磋商。</w:t>
            </w:r>
          </w:p>
          <w:p w:rsidR="006271E3" w:rsidRDefault="006271E3" w:rsidP="00E946FB">
            <w:pPr>
              <w:spacing w:line="312" w:lineRule="auto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6.根据教育部审计（教财经责报[2017]22号）要求，不接受涉及我校刑事案件的供应商报名。</w:t>
            </w:r>
          </w:p>
        </w:tc>
      </w:tr>
      <w:tr w:rsidR="006271E3" w:rsidTr="000733CD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</w:t>
            </w:r>
            <w:r>
              <w:rPr>
                <w:rFonts w:ascii="宋体" w:hAnsi="宋体" w:cs="宋体" w:hint="eastAsia"/>
                <w:sz w:val="21"/>
                <w:szCs w:val="21"/>
              </w:rPr>
              <w:t>递交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形式</w:t>
            </w:r>
          </w:p>
        </w:tc>
        <w:tc>
          <w:tcPr>
            <w:tcW w:w="6550" w:type="dxa"/>
            <w:vAlign w:val="center"/>
          </w:tcPr>
          <w:p w:rsidR="006271E3" w:rsidRDefault="00FC727D" w:rsidP="006271E3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  <w:lang w:val="zh-CN"/>
              </w:rPr>
              <w:t>电子邮件发送至</w:t>
            </w:r>
            <w:r w:rsidRPr="00FC727D">
              <w:rPr>
                <w:rFonts w:ascii="宋体" w:hAnsi="宋体" w:cs="宋体"/>
                <w:sz w:val="21"/>
                <w:szCs w:val="21"/>
                <w:lang w:val="zh-CN"/>
              </w:rPr>
              <w:t xml:space="preserve"> weidz861@nenu.edu.cn</w:t>
            </w:r>
          </w:p>
        </w:tc>
      </w:tr>
      <w:tr w:rsidR="006271E3" w:rsidTr="00E55A15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磋商报名及文件上交地址</w:t>
            </w:r>
          </w:p>
        </w:tc>
        <w:tc>
          <w:tcPr>
            <w:tcW w:w="6550" w:type="dxa"/>
            <w:vAlign w:val="center"/>
          </w:tcPr>
          <w:p w:rsidR="006271E3" w:rsidRDefault="00FC727D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东北师范大学（净月校区）美术学院设计教学楼 1308室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B55446" w:rsidP="006271E3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9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响应文件及其他要求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FB4E80">
              <w:rPr>
                <w:rFonts w:ascii="宋体" w:hAnsi="宋体" w:cs="宋体" w:hint="eastAsia"/>
                <w:sz w:val="21"/>
                <w:szCs w:val="21"/>
              </w:rPr>
              <w:t>公司营业执照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法人身份证复印件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货物报价单（包括货物名称、型号、品牌、基本参数、数量、单价、总价）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保修服务承诺书</w:t>
            </w:r>
            <w:r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Pr="00FB4E80">
              <w:rPr>
                <w:rFonts w:ascii="宋体" w:hAnsi="宋体" w:cs="宋体" w:hint="eastAsia"/>
                <w:sz w:val="21"/>
                <w:szCs w:val="21"/>
              </w:rPr>
              <w:t>以上文件均需加盖公章、法人签字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060" w:type="dxa"/>
            <w:vAlign w:val="center"/>
          </w:tcPr>
          <w:p w:rsidR="006271E3" w:rsidRDefault="009A2B46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A2B46">
              <w:rPr>
                <w:rFonts w:ascii="宋体" w:hAnsi="宋体" w:cs="宋体" w:hint="eastAsia"/>
                <w:sz w:val="21"/>
                <w:szCs w:val="21"/>
              </w:rPr>
              <w:t>磋商报名及文件递交</w:t>
            </w:r>
            <w:r w:rsidR="006271E3">
              <w:rPr>
                <w:rFonts w:ascii="宋体" w:hAnsi="宋体" w:cs="宋体" w:hint="eastAsia"/>
                <w:sz w:val="21"/>
                <w:szCs w:val="21"/>
              </w:rPr>
              <w:t>截止时间</w:t>
            </w:r>
          </w:p>
        </w:tc>
        <w:tc>
          <w:tcPr>
            <w:tcW w:w="6550" w:type="dxa"/>
            <w:vAlign w:val="center"/>
          </w:tcPr>
          <w:p w:rsidR="006271E3" w:rsidRDefault="006271E3" w:rsidP="008136FA">
            <w:pPr>
              <w:spacing w:line="312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2021年6月</w:t>
            </w:r>
            <w:r w:rsidR="008136FA">
              <w:rPr>
                <w:rFonts w:ascii="宋体" w:hAnsi="宋体" w:cs="宋体" w:hint="eastAsia"/>
                <w:sz w:val="21"/>
                <w:szCs w:val="21"/>
              </w:rPr>
              <w:t>6</w:t>
            </w:r>
            <w:bookmarkStart w:id="3" w:name="_GoBack"/>
            <w:bookmarkEnd w:id="3"/>
            <w:r>
              <w:rPr>
                <w:rFonts w:ascii="宋体" w:hAnsi="宋体" w:cs="宋体" w:hint="eastAsia"/>
                <w:sz w:val="21"/>
                <w:szCs w:val="21"/>
              </w:rPr>
              <w:t>日13时30分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lastRenderedPageBreak/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响应文件是否退还</w:t>
            </w:r>
          </w:p>
        </w:tc>
        <w:tc>
          <w:tcPr>
            <w:tcW w:w="6550" w:type="dxa"/>
            <w:vAlign w:val="center"/>
          </w:tcPr>
          <w:p w:rsidR="006271E3" w:rsidRDefault="006271E3" w:rsidP="00E55A15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否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2060" w:type="dxa"/>
            <w:vAlign w:val="center"/>
          </w:tcPr>
          <w:p w:rsidR="006271E3" w:rsidRDefault="006271E3" w:rsidP="009A2B46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磋商地点：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东北师范大学美术学院（</w:t>
            </w:r>
            <w:r>
              <w:rPr>
                <w:rFonts w:ascii="宋体" w:hAnsi="宋体" w:cs="宋体" w:hint="eastAsia"/>
                <w:sz w:val="21"/>
                <w:szCs w:val="21"/>
              </w:rPr>
              <w:t>吉林省长春市净月大街2555号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）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磋商程序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密封情况检查：由供应商代表检查响应文件密封情况；</w:t>
            </w:r>
          </w:p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磋商顺序：按响应文件递交顺序。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磋商小组的组建</w:t>
            </w:r>
          </w:p>
        </w:tc>
        <w:tc>
          <w:tcPr>
            <w:tcW w:w="6550" w:type="dxa"/>
            <w:vAlign w:val="center"/>
          </w:tcPr>
          <w:p w:rsidR="006271E3" w:rsidRDefault="006271E3" w:rsidP="009A2B46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磋商小组构成：购置设备的专业教师和实验中心管理人员构成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B55446">
            <w:pPr>
              <w:spacing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1</w:t>
            </w:r>
            <w:r w:rsidR="00B55446">
              <w:rPr>
                <w:rFonts w:ascii="宋体" w:hAnsi="宋体" w:cs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spacing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成交结果公告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spacing w:line="312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  <w:lang w:val="zh-CN"/>
              </w:rPr>
              <w:t>东北师范大学美术学院网站</w:t>
            </w:r>
          </w:p>
        </w:tc>
      </w:tr>
      <w:tr w:rsidR="006271E3" w:rsidTr="00900027">
        <w:trPr>
          <w:jc w:val="center"/>
        </w:trPr>
        <w:tc>
          <w:tcPr>
            <w:tcW w:w="946" w:type="dxa"/>
            <w:vAlign w:val="center"/>
          </w:tcPr>
          <w:p w:rsidR="006271E3" w:rsidRDefault="006271E3" w:rsidP="002C2444">
            <w:pPr>
              <w:adjustRightInd w:val="0"/>
              <w:snapToGrid w:val="0"/>
              <w:spacing w:beforeLines="15" w:before="46" w:line="312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2C244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06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防疫要求</w:t>
            </w:r>
          </w:p>
        </w:tc>
        <w:tc>
          <w:tcPr>
            <w:tcW w:w="6550" w:type="dxa"/>
            <w:vAlign w:val="center"/>
          </w:tcPr>
          <w:p w:rsidR="006271E3" w:rsidRDefault="006271E3" w:rsidP="006271E3">
            <w:pPr>
              <w:adjustRightInd w:val="0"/>
              <w:snapToGrid w:val="0"/>
              <w:spacing w:beforeLines="25" w:before="78" w:line="312" w:lineRule="auto"/>
              <w:rPr>
                <w:rFonts w:ascii="宋体" w:hAnsi="宋体" w:cs="宋体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各委托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代理人需提前下载《吉祥码》，并按要求进行注册绑定工作，入场前出示，吉祥码为绿色，出示通信行程卡为绿卡，且近14天无中高风险地区行程记录，经现场测温，体温符合正常标准后方可进入会场递交响应文件，如不符合以上要求将拒绝其递交响应文件，由此造成的后果由供应商自行承担。</w:t>
            </w:r>
          </w:p>
        </w:tc>
      </w:tr>
    </w:tbl>
    <w:p w:rsidR="006271E3" w:rsidRDefault="006271E3" w:rsidP="006271E3">
      <w:pPr>
        <w:spacing w:line="312" w:lineRule="auto"/>
        <w:rPr>
          <w:rFonts w:ascii="宋体" w:hAnsi="宋体" w:cs="宋体"/>
          <w:vanish/>
        </w:rPr>
      </w:pPr>
    </w:p>
    <w:p w:rsidR="003C561B" w:rsidRDefault="003C561B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bookmarkStart w:id="4" w:name="page19"/>
      <w:bookmarkEnd w:id="4"/>
    </w:p>
    <w:p w:rsidR="006271E3" w:rsidRDefault="006271E3" w:rsidP="006271E3">
      <w:pPr>
        <w:spacing w:line="312" w:lineRule="auto"/>
        <w:jc w:val="left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附：购置设备清单</w:t>
      </w:r>
    </w:p>
    <w:tbl>
      <w:tblPr>
        <w:tblW w:w="9560" w:type="dxa"/>
        <w:jc w:val="center"/>
        <w:tblInd w:w="-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1"/>
        <w:gridCol w:w="6825"/>
        <w:gridCol w:w="756"/>
      </w:tblGrid>
      <w:tr w:rsidR="006271E3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设备名称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主要参数</w:t>
            </w: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br/>
              <w:t>及配置要求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271E3" w:rsidRPr="009C0992" w:rsidRDefault="006271E3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台套数</w:t>
            </w:r>
          </w:p>
        </w:tc>
      </w:tr>
      <w:tr w:rsidR="005C4C7E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E946F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C4C7E" w:rsidRPr="00F70050" w:rsidRDefault="005C4C7E" w:rsidP="00F700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移动式焊烟净化器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型号：双臂2.2千瓦</w:t>
            </w:r>
          </w:p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1、聚四氟乙烯滤筒(过滤效果 &gt; 99.9 %),使用寿命长（3万小时）；此滤芯能对0.3微米的粉尘颗粒有效净化。</w:t>
            </w:r>
          </w:p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2、选配360度可活动的万向吸气臂，方便移动和定位。风量：4200-5000m³/h，电压：380V</w:t>
            </w:r>
          </w:p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功率：2.2kw，过滤面积：10-12㎡，过滤效率：99.99%，噪音：≤75db，吸气臂：双臂，外形尺寸：700*800*1300mm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5C4C7E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手动剪板机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型号：PS-9</w:t>
            </w:r>
          </w:p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加工壁厚：铁≤10mm，外形尺寸：1200*160*120mm；重量：145kg。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5C4C7E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手持式点焊机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型号：</w:t>
            </w:r>
            <w:proofErr w:type="gramStart"/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鑫</w:t>
            </w:r>
            <w:proofErr w:type="gramEnd"/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天正DNY50</w:t>
            </w:r>
          </w:p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额定容量：50KVA，初级电压：380V，电极</w:t>
            </w:r>
            <w:proofErr w:type="gramStart"/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线标配100平方</w:t>
            </w:r>
            <w:proofErr w:type="gramEnd"/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通水无感电缆单根长度2米，可选配气动夹焊钳大焊接厚度：3.0+3.0mm低碳钢板，6.5+6.5mm钢筋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5C4C7E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3d数据输入处理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型号：</w:t>
            </w:r>
            <w:proofErr w:type="spellStart"/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EinScan</w:t>
            </w:r>
            <w:proofErr w:type="spellEnd"/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-PRO 2X Plus</w:t>
            </w:r>
          </w:p>
          <w:tbl>
            <w:tblPr>
              <w:tblpPr w:leftFromText="180" w:rightFromText="180" w:vertAnchor="text" w:horzAnchor="margin" w:tblpY="293"/>
              <w:tblOverlap w:val="never"/>
              <w:tblW w:w="65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309"/>
              <w:gridCol w:w="1418"/>
              <w:gridCol w:w="1417"/>
              <w:gridCol w:w="1418"/>
            </w:tblGrid>
            <w:tr w:rsidR="006357EF" w:rsidRPr="00F478E9" w:rsidTr="00637EFC">
              <w:trPr>
                <w:trHeight w:val="242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扫描模式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手持精细扫描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手持快速扫描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固定式全自动扫描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固定式自由扫描</w:t>
                  </w:r>
                </w:p>
              </w:tc>
            </w:tr>
            <w:tr w:rsidR="006357EF" w:rsidRPr="00F478E9" w:rsidTr="00637EFC">
              <w:trPr>
                <w:trHeight w:val="254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扫描精度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 w:hint="eastAsia"/>
                      <w:color w:val="000000"/>
                      <w:sz w:val="21"/>
                      <w:szCs w:val="21"/>
                    </w:rPr>
                    <w:t>最高</w:t>
                  </w: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 xml:space="preserve"> 0.045mm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 w:hint="eastAsia"/>
                      <w:color w:val="000000"/>
                      <w:sz w:val="21"/>
                      <w:szCs w:val="21"/>
                    </w:rPr>
                    <w:t>最高</w:t>
                  </w: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0.1mm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单片精度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lastRenderedPageBreak/>
                    <w:t>0.04mm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lastRenderedPageBreak/>
                    <w:t>单片精度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lastRenderedPageBreak/>
                    <w:t>0.04mm</w:t>
                  </w:r>
                </w:p>
              </w:tc>
            </w:tr>
            <w:tr w:rsidR="006357EF" w:rsidRPr="00F478E9" w:rsidTr="00637EFC">
              <w:trPr>
                <w:trHeight w:val="495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lastRenderedPageBreak/>
                    <w:t>扫描速度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&gt;=10帧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/</w:t>
                  </w: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秒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Arial" w:hint="eastAsia"/>
                      <w:color w:val="000000"/>
                      <w:sz w:val="21"/>
                      <w:szCs w:val="21"/>
                    </w:rPr>
                    <w:t>最快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30</w:t>
                  </w: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帧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/</w:t>
                  </w: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秒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单幅扫描时间</w:t>
                  </w:r>
                  <w:r w:rsidRPr="00607973">
                    <w:rPr>
                      <w:rFonts w:asciiTheme="minorEastAsia" w:eastAsiaTheme="minorEastAsia" w:hAnsiTheme="minorEastAsia" w:cs="Arial" w:hint="eastAsia"/>
                      <w:color w:val="000000"/>
                      <w:sz w:val="21"/>
                      <w:szCs w:val="21"/>
                    </w:rPr>
                    <w:t>&lt;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0.5s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单幅扫描时间</w:t>
                  </w:r>
                  <w:r w:rsidRPr="00607973">
                    <w:rPr>
                      <w:rFonts w:asciiTheme="minorEastAsia" w:eastAsiaTheme="minorEastAsia" w:hAnsiTheme="minorEastAsia" w:cs="Arial" w:hint="eastAsia"/>
                      <w:color w:val="000000"/>
                      <w:sz w:val="21"/>
                      <w:szCs w:val="21"/>
                    </w:rPr>
                    <w:t>&lt;</w:t>
                  </w: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0.5s</w:t>
                  </w:r>
                </w:p>
              </w:tc>
            </w:tr>
            <w:tr w:rsidR="006357EF" w:rsidRPr="00F478E9" w:rsidTr="00637EFC">
              <w:trPr>
                <w:trHeight w:val="254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体积精度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6357EF" w:rsidRPr="00607973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0.3mm/m</w:t>
                  </w: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 xml:space="preserve">， </w:t>
                  </w:r>
                </w:p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借助标志点定位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607973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0.3mm/m</w:t>
                  </w: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，</w:t>
                  </w:r>
                </w:p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宋体"/>
                      <w:color w:val="000000"/>
                      <w:sz w:val="21"/>
                      <w:szCs w:val="21"/>
                    </w:rPr>
                    <w:t>借助标志点定位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不适用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不适用</w:t>
                  </w:r>
                </w:p>
              </w:tc>
            </w:tr>
            <w:tr w:rsidR="006357EF" w:rsidRPr="00F478E9" w:rsidTr="00637EFC">
              <w:trPr>
                <w:trHeight w:val="507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空间点距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0.2mm-3mm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0.2mm-3mm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0.24mm</w:t>
                  </w:r>
                </w:p>
              </w:tc>
            </w:tr>
            <w:tr w:rsidR="006357EF" w:rsidRPr="00F478E9" w:rsidTr="00637EFC">
              <w:trPr>
                <w:trHeight w:val="483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单片扫描范围</w:t>
                  </w:r>
                </w:p>
              </w:tc>
              <w:tc>
                <w:tcPr>
                  <w:tcW w:w="5562" w:type="dxa"/>
                  <w:gridSpan w:val="4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209*160mm——310*240mm</w:t>
                  </w:r>
                </w:p>
              </w:tc>
            </w:tr>
            <w:tr w:rsidR="006357EF" w:rsidRPr="00F478E9" w:rsidTr="00637EFC">
              <w:trPr>
                <w:trHeight w:val="483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景深</w:t>
                  </w:r>
                </w:p>
              </w:tc>
              <w:tc>
                <w:tcPr>
                  <w:tcW w:w="5562" w:type="dxa"/>
                  <w:gridSpan w:val="4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±100mm</w:t>
                  </w:r>
                </w:p>
              </w:tc>
            </w:tr>
            <w:tr w:rsidR="006357EF" w:rsidRPr="00F478E9" w:rsidTr="00637EFC">
              <w:trPr>
                <w:trHeight w:val="483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工作中心距</w:t>
                  </w:r>
                </w:p>
              </w:tc>
              <w:tc>
                <w:tcPr>
                  <w:tcW w:w="5562" w:type="dxa"/>
                  <w:gridSpan w:val="4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510mm</w:t>
                  </w:r>
                </w:p>
              </w:tc>
            </w:tr>
            <w:tr w:rsidR="006357EF" w:rsidRPr="00F478E9" w:rsidTr="00637EFC">
              <w:trPr>
                <w:trHeight w:val="266"/>
              </w:trPr>
              <w:tc>
                <w:tcPr>
                  <w:tcW w:w="944" w:type="dxa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</w:pPr>
                  <w:r w:rsidRPr="00F478E9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光源</w:t>
                  </w:r>
                </w:p>
              </w:tc>
              <w:tc>
                <w:tcPr>
                  <w:tcW w:w="5562" w:type="dxa"/>
                  <w:gridSpan w:val="4"/>
                  <w:shd w:val="clear" w:color="auto" w:fill="auto"/>
                  <w:vAlign w:val="center"/>
                </w:tcPr>
                <w:p w:rsidR="006357EF" w:rsidRPr="00F478E9" w:rsidRDefault="006357EF" w:rsidP="006357EF">
                  <w:pPr>
                    <w:jc w:val="center"/>
                    <w:textAlignment w:val="center"/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607973">
                    <w:rPr>
                      <w:rFonts w:asciiTheme="minorEastAsia" w:eastAsiaTheme="minorEastAsia" w:hAnsiTheme="minorEastAsia" w:cs="Arial"/>
                      <w:color w:val="000000"/>
                      <w:sz w:val="21"/>
                      <w:szCs w:val="21"/>
                    </w:rPr>
                    <w:t>LED</w:t>
                  </w:r>
                </w:p>
              </w:tc>
            </w:tr>
          </w:tbl>
          <w:p w:rsidR="005C4C7E" w:rsidRPr="009C0992" w:rsidRDefault="005C4C7E" w:rsidP="00AC0AB6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5C4C7E" w:rsidRPr="009C0992" w:rsidTr="00E946FB">
        <w:trPr>
          <w:trHeight w:val="747"/>
          <w:jc w:val="center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E946F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雕塑转台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型号：ds-600c</w:t>
            </w:r>
          </w:p>
          <w:p w:rsidR="005C4C7E" w:rsidRPr="009C0992" w:rsidRDefault="005C4C7E" w:rsidP="00AC0AB6">
            <w:pPr>
              <w:pStyle w:val="a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</w:rPr>
              <w:t>全钢结构，工作台600*600*30毫米，采用4毫米国标钢材，有加强筋，刚性好，镀锌防腐处理；降至65厘米，升至105厘米，且工作台旋转有锁紧设计；主轴直径75毫米，耐磨缸套副，与主轴间隙0.05毫米内，两腿对角线跨度70厘米，有脚轮，便于移动，安全承载500公斤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C4C7E" w:rsidRPr="009C0992" w:rsidRDefault="005C4C7E" w:rsidP="00AC0AB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 w:rsidRPr="009C0992"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20</w:t>
            </w:r>
          </w:p>
        </w:tc>
      </w:tr>
    </w:tbl>
    <w:p w:rsidR="00EF0A48" w:rsidRDefault="00EF0A48"/>
    <w:sectPr w:rsidR="00EF0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1F" w:rsidRDefault="00AF341F" w:rsidP="006271E3">
      <w:r>
        <w:separator/>
      </w:r>
    </w:p>
  </w:endnote>
  <w:endnote w:type="continuationSeparator" w:id="0">
    <w:p w:rsidR="00AF341F" w:rsidRDefault="00AF341F" w:rsidP="006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1F" w:rsidRDefault="00AF341F" w:rsidP="006271E3">
      <w:r>
        <w:separator/>
      </w:r>
    </w:p>
  </w:footnote>
  <w:footnote w:type="continuationSeparator" w:id="0">
    <w:p w:rsidR="00AF341F" w:rsidRDefault="00AF341F" w:rsidP="0062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6"/>
    <w:rsid w:val="000917B1"/>
    <w:rsid w:val="00254D65"/>
    <w:rsid w:val="002A0C37"/>
    <w:rsid w:val="002C2444"/>
    <w:rsid w:val="00334CF6"/>
    <w:rsid w:val="0033570B"/>
    <w:rsid w:val="003C561B"/>
    <w:rsid w:val="00426DA6"/>
    <w:rsid w:val="00513F95"/>
    <w:rsid w:val="00556374"/>
    <w:rsid w:val="00576444"/>
    <w:rsid w:val="005C4C7E"/>
    <w:rsid w:val="005E141D"/>
    <w:rsid w:val="005F1DE9"/>
    <w:rsid w:val="005F3C15"/>
    <w:rsid w:val="006271E3"/>
    <w:rsid w:val="00632E4B"/>
    <w:rsid w:val="006357EF"/>
    <w:rsid w:val="006A26DB"/>
    <w:rsid w:val="006A689C"/>
    <w:rsid w:val="007C47EC"/>
    <w:rsid w:val="00807AC2"/>
    <w:rsid w:val="008109AD"/>
    <w:rsid w:val="008136FA"/>
    <w:rsid w:val="00846C00"/>
    <w:rsid w:val="00966E77"/>
    <w:rsid w:val="009A2B46"/>
    <w:rsid w:val="009B36AF"/>
    <w:rsid w:val="009B42AF"/>
    <w:rsid w:val="009E5C5B"/>
    <w:rsid w:val="00AF341F"/>
    <w:rsid w:val="00B123C4"/>
    <w:rsid w:val="00B55446"/>
    <w:rsid w:val="00D04C1E"/>
    <w:rsid w:val="00D85702"/>
    <w:rsid w:val="00E55A15"/>
    <w:rsid w:val="00EF0A48"/>
    <w:rsid w:val="00F42DA5"/>
    <w:rsid w:val="00F70050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71E3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2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271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271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6271E3"/>
    <w:rPr>
      <w:rFonts w:ascii="仿宋_GB2312" w:eastAsia="仿宋_GB2312"/>
      <w:sz w:val="32"/>
    </w:rPr>
  </w:style>
  <w:style w:type="character" w:customStyle="1" w:styleId="Char1">
    <w:name w:val="正文文本 Char"/>
    <w:basedOn w:val="a1"/>
    <w:link w:val="a0"/>
    <w:rsid w:val="006271E3"/>
    <w:rPr>
      <w:rFonts w:ascii="仿宋_GB2312" w:eastAsia="仿宋_GB2312" w:hAnsi="Times New Roman" w:cs="Times New Roman"/>
      <w:sz w:val="32"/>
      <w:szCs w:val="20"/>
    </w:rPr>
  </w:style>
  <w:style w:type="paragraph" w:styleId="a6">
    <w:name w:val="Normal (Web)"/>
    <w:basedOn w:val="a"/>
    <w:uiPriority w:val="99"/>
    <w:qFormat/>
    <w:rsid w:val="006271E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6271E3"/>
    <w:pPr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24</cp:revision>
  <dcterms:created xsi:type="dcterms:W3CDTF">2021-06-01T09:15:00Z</dcterms:created>
  <dcterms:modified xsi:type="dcterms:W3CDTF">2021-06-03T07:03:00Z</dcterms:modified>
</cp:coreProperties>
</file>